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ahoma" w:cs="Tahoma" w:eastAsia="Tahoma" w:hAnsi="Tahoma"/>
          <w:b w:val="1"/>
          <w:color w:val="036287"/>
          <w:sz w:val="36"/>
          <w:szCs w:val="36"/>
        </w:rPr>
      </w:pPr>
      <w:r w:rsidDel="00000000" w:rsidR="00000000" w:rsidRPr="00000000">
        <w:rPr>
          <w:rFonts w:ascii="Tahoma" w:cs="Tahoma" w:eastAsia="Tahoma" w:hAnsi="Tahoma"/>
          <w:b w:val="1"/>
          <w:color w:val="036287"/>
          <w:sz w:val="36"/>
          <w:szCs w:val="36"/>
          <w:rtl w:val="0"/>
        </w:rPr>
        <w:t xml:space="preserve">Accord de responsabilité conjointe (co-RT)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ahoma" w:cs="Tahoma" w:eastAsia="Tahoma" w:hAnsi="Tahoma"/>
          <w:b w:val="1"/>
          <w:color w:val="036287"/>
          <w:sz w:val="34"/>
          <w:szCs w:val="34"/>
        </w:rPr>
      </w:pPr>
      <w:r w:rsidDel="00000000" w:rsidR="00000000" w:rsidRPr="00000000">
        <w:rPr>
          <w:rFonts w:ascii="Tahoma" w:cs="Tahoma" w:eastAsia="Tahoma" w:hAnsi="Tahoma"/>
          <w:b w:val="1"/>
          <w:color w:val="036287"/>
          <w:sz w:val="34"/>
          <w:szCs w:val="34"/>
          <w:rtl w:val="0"/>
        </w:rPr>
        <w:t xml:space="preserve">Plan</w:t>
      </w:r>
    </w:p>
    <w:p w:rsidR="00000000" w:rsidDel="00000000" w:rsidP="00000000" w:rsidRDefault="00000000" w:rsidRPr="00000000" w14:paraId="00000003">
      <w:pPr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widowControl w:val="0"/>
        <w:spacing w:before="60" w:lineRule="auto"/>
        <w:ind w:left="0" w:firstLine="0"/>
        <w:rPr>
          <w:color w:val="000000"/>
          <w:sz w:val="22"/>
          <w:szCs w:val="22"/>
        </w:rPr>
      </w:pPr>
      <w:bookmarkStart w:colFirst="0" w:colLast="0" w:name="_heading=h.wni6y7gmi2ap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Préambule</w:t>
      </w:r>
    </w:p>
    <w:p w:rsidR="00000000" w:rsidDel="00000000" w:rsidP="00000000" w:rsidRDefault="00000000" w:rsidRPr="00000000" w14:paraId="00000005">
      <w:pPr>
        <w:pStyle w:val="Heading1"/>
        <w:widowControl w:val="0"/>
        <w:spacing w:before="60" w:lineRule="auto"/>
        <w:ind w:left="0" w:firstLine="0"/>
        <w:rPr>
          <w:color w:val="000000"/>
          <w:sz w:val="22"/>
          <w:szCs w:val="22"/>
        </w:rPr>
      </w:pPr>
      <w:bookmarkStart w:colFirst="0" w:colLast="0" w:name="_heading=h.1h4klmvvgjq4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Article 1 - Définitions</w:t>
      </w:r>
    </w:p>
    <w:p w:rsidR="00000000" w:rsidDel="00000000" w:rsidP="00000000" w:rsidRDefault="00000000" w:rsidRPr="00000000" w14:paraId="00000006">
      <w:pPr>
        <w:pStyle w:val="Heading1"/>
        <w:widowControl w:val="0"/>
        <w:spacing w:before="60" w:lineRule="auto"/>
        <w:ind w:left="0" w:firstLine="0"/>
        <w:rPr>
          <w:color w:val="000000"/>
          <w:sz w:val="22"/>
          <w:szCs w:val="22"/>
        </w:rPr>
      </w:pPr>
      <w:bookmarkStart w:colFirst="0" w:colLast="0" w:name="_heading=h.q5ymj3cebvwk" w:id="2"/>
      <w:bookmarkEnd w:id="2"/>
      <w:r w:rsidDel="00000000" w:rsidR="00000000" w:rsidRPr="00000000">
        <w:rPr>
          <w:color w:val="000000"/>
          <w:sz w:val="22"/>
          <w:szCs w:val="22"/>
          <w:rtl w:val="0"/>
        </w:rPr>
        <w:t xml:space="preserve">Article 2 - Objet de l’Accord de responsabilité conjointe</w:t>
      </w:r>
    </w:p>
    <w:p w:rsidR="00000000" w:rsidDel="00000000" w:rsidP="00000000" w:rsidRDefault="00000000" w:rsidRPr="00000000" w14:paraId="00000007">
      <w:pPr>
        <w:pStyle w:val="Heading1"/>
        <w:widowControl w:val="0"/>
        <w:spacing w:before="60" w:lineRule="auto"/>
        <w:ind w:left="0" w:firstLine="0"/>
        <w:rPr>
          <w:color w:val="000000"/>
          <w:sz w:val="22"/>
          <w:szCs w:val="22"/>
        </w:rPr>
      </w:pPr>
      <w:bookmarkStart w:colFirst="0" w:colLast="0" w:name="_heading=h.xuoqtpaotkmc" w:id="3"/>
      <w:bookmarkEnd w:id="3"/>
      <w:r w:rsidDel="00000000" w:rsidR="00000000" w:rsidRPr="00000000">
        <w:rPr>
          <w:color w:val="000000"/>
          <w:sz w:val="22"/>
          <w:szCs w:val="22"/>
          <w:rtl w:val="0"/>
        </w:rPr>
        <w:t xml:space="preserve">Article 3 - Documents conventionnels</w:t>
      </w:r>
    </w:p>
    <w:p w:rsidR="00000000" w:rsidDel="00000000" w:rsidP="00000000" w:rsidRDefault="00000000" w:rsidRPr="00000000" w14:paraId="00000008">
      <w:pPr>
        <w:pStyle w:val="Heading1"/>
        <w:widowControl w:val="0"/>
        <w:spacing w:before="60" w:lineRule="auto"/>
        <w:ind w:left="0" w:firstLine="0"/>
        <w:rPr>
          <w:color w:val="000000"/>
          <w:sz w:val="22"/>
          <w:szCs w:val="22"/>
        </w:rPr>
      </w:pPr>
      <w:bookmarkStart w:colFirst="0" w:colLast="0" w:name="_heading=h.8lk6zceuvzh5" w:id="4"/>
      <w:bookmarkEnd w:id="4"/>
      <w:r w:rsidDel="00000000" w:rsidR="00000000" w:rsidRPr="00000000">
        <w:rPr>
          <w:color w:val="000000"/>
          <w:sz w:val="22"/>
          <w:szCs w:val="22"/>
          <w:rtl w:val="0"/>
        </w:rPr>
        <w:t xml:space="preserve">Article 4 - Traitement couvert par la Responsabilité conjointe</w:t>
      </w:r>
    </w:p>
    <w:p w:rsidR="00000000" w:rsidDel="00000000" w:rsidP="00000000" w:rsidRDefault="00000000" w:rsidRPr="00000000" w14:paraId="00000009">
      <w:pPr>
        <w:pStyle w:val="Heading1"/>
        <w:widowControl w:val="0"/>
        <w:spacing w:before="60" w:lineRule="auto"/>
        <w:ind w:left="0" w:firstLine="0"/>
        <w:rPr>
          <w:color w:val="000000"/>
          <w:sz w:val="22"/>
          <w:szCs w:val="22"/>
        </w:rPr>
      </w:pPr>
      <w:bookmarkStart w:colFirst="0" w:colLast="0" w:name="_heading=h.7ed0ovv2c344" w:id="5"/>
      <w:bookmarkEnd w:id="5"/>
      <w:r w:rsidDel="00000000" w:rsidR="00000000" w:rsidRPr="00000000">
        <w:rPr>
          <w:color w:val="000000"/>
          <w:sz w:val="22"/>
          <w:szCs w:val="22"/>
          <w:rtl w:val="0"/>
        </w:rPr>
        <w:t xml:space="preserve">Article 5 - Type de Données à caractère personnel traitées</w:t>
      </w:r>
    </w:p>
    <w:p w:rsidR="00000000" w:rsidDel="00000000" w:rsidP="00000000" w:rsidRDefault="00000000" w:rsidRPr="00000000" w14:paraId="0000000A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2fdgzh1d2md8" w:id="6"/>
      <w:bookmarkEnd w:id="6"/>
      <w:r w:rsidDel="00000000" w:rsidR="00000000" w:rsidRPr="00000000">
        <w:rPr>
          <w:b w:val="0"/>
          <w:sz w:val="22"/>
          <w:szCs w:val="22"/>
          <w:rtl w:val="0"/>
        </w:rPr>
        <w:t xml:space="preserve">Article 5.1 - Données présentes au sein des Bases sources</w:t>
      </w:r>
    </w:p>
    <w:p w:rsidR="00000000" w:rsidDel="00000000" w:rsidP="00000000" w:rsidRDefault="00000000" w:rsidRPr="00000000" w14:paraId="0000000B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ojr3assl7m8u" w:id="7"/>
      <w:bookmarkEnd w:id="7"/>
      <w:r w:rsidDel="00000000" w:rsidR="00000000" w:rsidRPr="00000000">
        <w:rPr>
          <w:b w:val="0"/>
          <w:sz w:val="22"/>
          <w:szCs w:val="22"/>
          <w:rtl w:val="0"/>
        </w:rPr>
        <w:t xml:space="preserve">Article 5.2 - Données issues de la base principale du SNDS</w:t>
      </w:r>
    </w:p>
    <w:p w:rsidR="00000000" w:rsidDel="00000000" w:rsidP="00000000" w:rsidRDefault="00000000" w:rsidRPr="00000000" w14:paraId="0000000C">
      <w:pPr>
        <w:widowControl w:val="0"/>
        <w:spacing w:before="60" w:lineRule="auto"/>
        <w:rPr>
          <w:rFonts w:ascii="Tahoma" w:cs="Tahoma" w:eastAsia="Tahoma" w:hAnsi="Tahoma"/>
          <w:b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sz w:val="22"/>
          <w:szCs w:val="22"/>
          <w:rtl w:val="0"/>
        </w:rPr>
        <w:t xml:space="preserve">Article 6 - Engagement de chacune des Parties</w:t>
      </w:r>
    </w:p>
    <w:p w:rsidR="00000000" w:rsidDel="00000000" w:rsidP="00000000" w:rsidRDefault="00000000" w:rsidRPr="00000000" w14:paraId="0000000D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730c2v3g9598" w:id="8"/>
      <w:bookmarkEnd w:id="8"/>
      <w:r w:rsidDel="00000000" w:rsidR="00000000" w:rsidRPr="00000000">
        <w:rPr>
          <w:b w:val="0"/>
          <w:sz w:val="22"/>
          <w:szCs w:val="22"/>
          <w:rtl w:val="0"/>
        </w:rPr>
        <w:t xml:space="preserve">Article 6.1 - Analyse de la conformité et documentation</w:t>
      </w:r>
    </w:p>
    <w:p w:rsidR="00000000" w:rsidDel="00000000" w:rsidP="00000000" w:rsidRDefault="00000000" w:rsidRPr="00000000" w14:paraId="0000000E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m7b9ljivv5h9" w:id="9"/>
      <w:bookmarkEnd w:id="9"/>
      <w:r w:rsidDel="00000000" w:rsidR="00000000" w:rsidRPr="00000000">
        <w:rPr>
          <w:b w:val="0"/>
          <w:sz w:val="22"/>
          <w:szCs w:val="22"/>
          <w:rtl w:val="0"/>
        </w:rPr>
        <w:t xml:space="preserve">Article 6.2 - Information des Personnes Concernées</w:t>
      </w:r>
    </w:p>
    <w:p w:rsidR="00000000" w:rsidDel="00000000" w:rsidP="00000000" w:rsidRDefault="00000000" w:rsidRPr="00000000" w14:paraId="0000000F">
      <w:pPr>
        <w:pStyle w:val="Heading3"/>
        <w:widowControl w:val="0"/>
        <w:spacing w:before="60" w:lineRule="auto"/>
        <w:ind w:left="720" w:firstLine="0"/>
        <w:rPr>
          <w:rFonts w:ascii="Tahoma" w:cs="Tahoma" w:eastAsia="Tahoma" w:hAnsi="Tahoma"/>
          <w:color w:val="000000"/>
          <w:sz w:val="22"/>
          <w:szCs w:val="22"/>
        </w:rPr>
      </w:pPr>
      <w:bookmarkStart w:colFirst="0" w:colLast="0" w:name="_heading=h.t9p0ivuzanph" w:id="10"/>
      <w:bookmarkEnd w:id="10"/>
      <w:r w:rsidDel="00000000" w:rsidR="00000000" w:rsidRPr="00000000">
        <w:rPr>
          <w:rFonts w:ascii="Tahoma" w:cs="Tahoma" w:eastAsia="Tahoma" w:hAnsi="Tahoma"/>
          <w:color w:val="000000"/>
          <w:sz w:val="22"/>
          <w:szCs w:val="22"/>
          <w:rtl w:val="0"/>
        </w:rPr>
        <w:t xml:space="preserve">Article 6.2.1 - Information des Personnes Concernées admises en tant que patients</w:t>
      </w:r>
    </w:p>
    <w:p w:rsidR="00000000" w:rsidDel="00000000" w:rsidP="00000000" w:rsidRDefault="00000000" w:rsidRPr="00000000" w14:paraId="00000010">
      <w:pPr>
        <w:pStyle w:val="Heading3"/>
        <w:widowControl w:val="0"/>
        <w:spacing w:before="60" w:lineRule="auto"/>
        <w:ind w:left="720" w:firstLine="0"/>
        <w:rPr>
          <w:rFonts w:ascii="Tahoma" w:cs="Tahoma" w:eastAsia="Tahoma" w:hAnsi="Tahoma"/>
          <w:color w:val="000000"/>
          <w:sz w:val="22"/>
          <w:szCs w:val="22"/>
        </w:rPr>
      </w:pPr>
      <w:bookmarkStart w:colFirst="0" w:colLast="0" w:name="_heading=h.pzoqjud4yo4q" w:id="11"/>
      <w:bookmarkEnd w:id="11"/>
      <w:r w:rsidDel="00000000" w:rsidR="00000000" w:rsidRPr="00000000">
        <w:rPr>
          <w:rFonts w:ascii="Tahoma" w:cs="Tahoma" w:eastAsia="Tahoma" w:hAnsi="Tahoma"/>
          <w:color w:val="000000"/>
          <w:sz w:val="22"/>
          <w:szCs w:val="22"/>
          <w:rtl w:val="0"/>
        </w:rPr>
        <w:t xml:space="preserve">Article 6.2.2 - Information des Personnes Concernées exerçant comme professionnels de santé</w:t>
      </w:r>
    </w:p>
    <w:p w:rsidR="00000000" w:rsidDel="00000000" w:rsidP="00000000" w:rsidRDefault="00000000" w:rsidRPr="00000000" w14:paraId="00000011">
      <w:pPr>
        <w:pStyle w:val="Heading2"/>
        <w:widowControl w:val="0"/>
        <w:spacing w:before="60" w:lineRule="auto"/>
        <w:ind w:left="360" w:firstLine="0"/>
        <w:rPr/>
      </w:pPr>
      <w:bookmarkStart w:colFirst="0" w:colLast="0" w:name="_heading=h.mud856ovzn4x" w:id="12"/>
      <w:bookmarkEnd w:id="12"/>
      <w:r w:rsidDel="00000000" w:rsidR="00000000" w:rsidRPr="00000000">
        <w:rPr>
          <w:b w:val="0"/>
          <w:sz w:val="22"/>
          <w:szCs w:val="22"/>
          <w:rtl w:val="0"/>
        </w:rPr>
        <w:t xml:space="preserve">Article 6.3 - Gestion des droits des Personnes Concernées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widowControl w:val="0"/>
        <w:spacing w:before="60" w:lineRule="auto"/>
        <w:ind w:left="720" w:firstLine="0"/>
        <w:rPr>
          <w:rFonts w:ascii="Tahoma" w:cs="Tahoma" w:eastAsia="Tahoma" w:hAnsi="Tahoma"/>
          <w:color w:val="000000"/>
          <w:sz w:val="22"/>
          <w:szCs w:val="22"/>
        </w:rPr>
      </w:pPr>
      <w:bookmarkStart w:colFirst="0" w:colLast="0" w:name="_heading=h.ipt4diiwawjy" w:id="13"/>
      <w:bookmarkEnd w:id="13"/>
      <w:r w:rsidDel="00000000" w:rsidR="00000000" w:rsidRPr="00000000">
        <w:rPr>
          <w:rFonts w:ascii="Tahoma" w:cs="Tahoma" w:eastAsia="Tahoma" w:hAnsi="Tahoma"/>
          <w:color w:val="000000"/>
          <w:sz w:val="22"/>
          <w:szCs w:val="22"/>
          <w:rtl w:val="0"/>
        </w:rPr>
        <w:t xml:space="preserve">Article 6.3.1 - Point de contact pour les Personnes Concernées</w:t>
      </w:r>
    </w:p>
    <w:p w:rsidR="00000000" w:rsidDel="00000000" w:rsidP="00000000" w:rsidRDefault="00000000" w:rsidRPr="00000000" w14:paraId="00000013">
      <w:pPr>
        <w:pStyle w:val="Heading3"/>
        <w:widowControl w:val="0"/>
        <w:spacing w:before="60" w:lineRule="auto"/>
        <w:ind w:left="720" w:firstLine="0"/>
        <w:rPr>
          <w:rFonts w:ascii="Tahoma" w:cs="Tahoma" w:eastAsia="Tahoma" w:hAnsi="Tahoma"/>
          <w:color w:val="000000"/>
          <w:sz w:val="22"/>
          <w:szCs w:val="22"/>
        </w:rPr>
      </w:pPr>
      <w:bookmarkStart w:colFirst="0" w:colLast="0" w:name="_heading=h.6hdxj0uviegm" w:id="14"/>
      <w:bookmarkEnd w:id="14"/>
      <w:r w:rsidDel="00000000" w:rsidR="00000000" w:rsidRPr="00000000">
        <w:rPr>
          <w:rFonts w:ascii="Tahoma" w:cs="Tahoma" w:eastAsia="Tahoma" w:hAnsi="Tahoma"/>
          <w:color w:val="000000"/>
          <w:sz w:val="22"/>
          <w:szCs w:val="22"/>
          <w:rtl w:val="0"/>
        </w:rPr>
        <w:t xml:space="preserve">Article 6.3.2 - Droits des Personnes Concernées admises en tant que patients</w:t>
      </w:r>
    </w:p>
    <w:p w:rsidR="00000000" w:rsidDel="00000000" w:rsidP="00000000" w:rsidRDefault="00000000" w:rsidRPr="00000000" w14:paraId="00000014">
      <w:pPr>
        <w:pStyle w:val="Heading3"/>
        <w:widowControl w:val="0"/>
        <w:spacing w:before="60" w:lineRule="auto"/>
        <w:ind w:left="720" w:firstLine="0"/>
        <w:rPr/>
      </w:pPr>
      <w:bookmarkStart w:colFirst="0" w:colLast="0" w:name="_heading=h.e4mds96imcm2" w:id="15"/>
      <w:bookmarkEnd w:id="15"/>
      <w:r w:rsidDel="00000000" w:rsidR="00000000" w:rsidRPr="00000000">
        <w:rPr>
          <w:rFonts w:ascii="Tahoma" w:cs="Tahoma" w:eastAsia="Tahoma" w:hAnsi="Tahoma"/>
          <w:color w:val="000000"/>
          <w:sz w:val="22"/>
          <w:szCs w:val="22"/>
          <w:rtl w:val="0"/>
        </w:rPr>
        <w:t xml:space="preserve">Article 6.3.3 - Droits des Personnes Concernées exerçant comme professionnels de santé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uljszk7yuax7" w:id="16"/>
      <w:bookmarkEnd w:id="16"/>
      <w:r w:rsidDel="00000000" w:rsidR="00000000" w:rsidRPr="00000000">
        <w:rPr>
          <w:b w:val="0"/>
          <w:sz w:val="22"/>
          <w:szCs w:val="22"/>
          <w:rtl w:val="0"/>
        </w:rPr>
        <w:t xml:space="preserve">Article 6.4 - Encadrement contractuel des liens avec les Sous-traitants</w:t>
      </w:r>
    </w:p>
    <w:p w:rsidR="00000000" w:rsidDel="00000000" w:rsidP="00000000" w:rsidRDefault="00000000" w:rsidRPr="00000000" w14:paraId="00000016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j9mier6xgx33" w:id="17"/>
      <w:bookmarkEnd w:id="17"/>
      <w:r w:rsidDel="00000000" w:rsidR="00000000" w:rsidRPr="00000000">
        <w:rPr>
          <w:b w:val="0"/>
          <w:sz w:val="22"/>
          <w:szCs w:val="22"/>
          <w:rtl w:val="0"/>
        </w:rPr>
        <w:t xml:space="preserve">Article 6.5 - Transferts de données hors de l’Espace économique européen (EEE)</w:t>
      </w:r>
    </w:p>
    <w:p w:rsidR="00000000" w:rsidDel="00000000" w:rsidP="00000000" w:rsidRDefault="00000000" w:rsidRPr="00000000" w14:paraId="00000017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t79z912jccge" w:id="18"/>
      <w:bookmarkEnd w:id="18"/>
      <w:r w:rsidDel="00000000" w:rsidR="00000000" w:rsidRPr="00000000">
        <w:rPr>
          <w:b w:val="0"/>
          <w:sz w:val="22"/>
          <w:szCs w:val="22"/>
          <w:rtl w:val="0"/>
        </w:rPr>
        <w:t xml:space="preserve">Article 6.6 - Mesures de sécurité</w:t>
      </w:r>
    </w:p>
    <w:p w:rsidR="00000000" w:rsidDel="00000000" w:rsidP="00000000" w:rsidRDefault="00000000" w:rsidRPr="00000000" w14:paraId="00000018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susjwz2zqqt1" w:id="19"/>
      <w:bookmarkEnd w:id="19"/>
      <w:r w:rsidDel="00000000" w:rsidR="00000000" w:rsidRPr="00000000">
        <w:rPr>
          <w:b w:val="0"/>
          <w:sz w:val="22"/>
          <w:szCs w:val="22"/>
          <w:rtl w:val="0"/>
        </w:rPr>
        <w:t xml:space="preserve">Article 6.7 - Incident de sécurité et suspicion de Violation de Données à caractère personnel</w:t>
      </w:r>
    </w:p>
    <w:p w:rsidR="00000000" w:rsidDel="00000000" w:rsidP="00000000" w:rsidRDefault="00000000" w:rsidRPr="00000000" w14:paraId="00000019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13pvr55d36q1" w:id="20"/>
      <w:bookmarkEnd w:id="20"/>
      <w:r w:rsidDel="00000000" w:rsidR="00000000" w:rsidRPr="00000000">
        <w:rPr>
          <w:b w:val="0"/>
          <w:sz w:val="22"/>
          <w:szCs w:val="22"/>
          <w:rtl w:val="0"/>
        </w:rPr>
        <w:t xml:space="preserve">Article 6.8 - Sort des données</w:t>
      </w:r>
    </w:p>
    <w:p w:rsidR="00000000" w:rsidDel="00000000" w:rsidP="00000000" w:rsidRDefault="00000000" w:rsidRPr="00000000" w14:paraId="0000001A">
      <w:pPr>
        <w:pStyle w:val="Heading2"/>
        <w:widowControl w:val="0"/>
        <w:spacing w:before="60" w:lineRule="auto"/>
        <w:ind w:left="360" w:firstLine="0"/>
        <w:rPr/>
      </w:pPr>
      <w:bookmarkStart w:colFirst="0" w:colLast="0" w:name="_heading=h.orpg7j9o8x0r" w:id="21"/>
      <w:bookmarkEnd w:id="21"/>
      <w:r w:rsidDel="00000000" w:rsidR="00000000" w:rsidRPr="00000000">
        <w:rPr>
          <w:b w:val="0"/>
          <w:sz w:val="22"/>
          <w:szCs w:val="22"/>
          <w:rtl w:val="0"/>
        </w:rPr>
        <w:t xml:space="preserve">Article 6.9 - Points de contact protection des données désignés par chacun des Responsables conjoints de traitement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widowControl w:val="0"/>
        <w:spacing w:before="60" w:lineRule="auto"/>
        <w:ind w:left="0" w:firstLine="0"/>
        <w:rPr/>
      </w:pPr>
      <w:bookmarkStart w:colFirst="0" w:colLast="0" w:name="_heading=h.wlsdxih1iqla" w:id="22"/>
      <w:bookmarkEnd w:id="22"/>
      <w:r w:rsidDel="00000000" w:rsidR="00000000" w:rsidRPr="00000000">
        <w:rPr>
          <w:color w:val="000000"/>
          <w:sz w:val="22"/>
          <w:szCs w:val="22"/>
          <w:rtl w:val="0"/>
        </w:rPr>
        <w:t xml:space="preserve">Article 7 - Dispositions diverses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kmnplst4i6nq" w:id="23"/>
      <w:bookmarkEnd w:id="23"/>
      <w:r w:rsidDel="00000000" w:rsidR="00000000" w:rsidRPr="00000000">
        <w:rPr>
          <w:b w:val="0"/>
          <w:sz w:val="22"/>
          <w:szCs w:val="22"/>
          <w:rtl w:val="0"/>
        </w:rPr>
        <w:t xml:space="preserve">Article 7.1 - Durée de l’Accord</w:t>
      </w:r>
    </w:p>
    <w:p w:rsidR="00000000" w:rsidDel="00000000" w:rsidP="00000000" w:rsidRDefault="00000000" w:rsidRPr="00000000" w14:paraId="0000001D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yn9ye8jsf80e" w:id="24"/>
      <w:bookmarkEnd w:id="24"/>
      <w:r w:rsidDel="00000000" w:rsidR="00000000" w:rsidRPr="00000000">
        <w:rPr>
          <w:b w:val="0"/>
          <w:sz w:val="22"/>
          <w:szCs w:val="22"/>
          <w:rtl w:val="0"/>
        </w:rPr>
        <w:t xml:space="preserve">Article 7.2 - Signature électronique</w:t>
      </w:r>
    </w:p>
    <w:p w:rsidR="00000000" w:rsidDel="00000000" w:rsidP="00000000" w:rsidRDefault="00000000" w:rsidRPr="00000000" w14:paraId="0000001E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5l918jz9duwk" w:id="25"/>
      <w:bookmarkEnd w:id="25"/>
      <w:r w:rsidDel="00000000" w:rsidR="00000000" w:rsidRPr="00000000">
        <w:rPr>
          <w:b w:val="0"/>
          <w:sz w:val="22"/>
          <w:szCs w:val="22"/>
          <w:rtl w:val="0"/>
        </w:rPr>
        <w:t xml:space="preserve">Article 7.3 - Comitologie</w:t>
      </w:r>
    </w:p>
    <w:p w:rsidR="00000000" w:rsidDel="00000000" w:rsidP="00000000" w:rsidRDefault="00000000" w:rsidRPr="00000000" w14:paraId="0000001F">
      <w:pPr>
        <w:pStyle w:val="Heading2"/>
        <w:widowControl w:val="0"/>
        <w:spacing w:before="60" w:lineRule="auto"/>
        <w:ind w:left="360" w:firstLine="0"/>
        <w:rPr>
          <w:b w:val="0"/>
          <w:sz w:val="22"/>
          <w:szCs w:val="22"/>
        </w:rPr>
      </w:pPr>
      <w:bookmarkStart w:colFirst="0" w:colLast="0" w:name="_heading=h.tt3xssihf613" w:id="26"/>
      <w:bookmarkEnd w:id="26"/>
      <w:r w:rsidDel="00000000" w:rsidR="00000000" w:rsidRPr="00000000">
        <w:rPr>
          <w:b w:val="0"/>
          <w:sz w:val="22"/>
          <w:szCs w:val="22"/>
          <w:rtl w:val="0"/>
        </w:rPr>
        <w:t xml:space="preserve">Article 7.4 - Modalités de résolution des difficultés</w:t>
      </w:r>
    </w:p>
    <w:p w:rsidR="00000000" w:rsidDel="00000000" w:rsidP="00000000" w:rsidRDefault="00000000" w:rsidRPr="00000000" w14:paraId="00000020">
      <w:pPr>
        <w:pStyle w:val="Heading2"/>
        <w:widowControl w:val="0"/>
        <w:spacing w:before="60" w:lineRule="auto"/>
        <w:ind w:left="360" w:firstLine="0"/>
        <w:rPr/>
      </w:pPr>
      <w:bookmarkStart w:colFirst="0" w:colLast="0" w:name="_heading=h.1lnpl8d6705p" w:id="27"/>
      <w:bookmarkEnd w:id="27"/>
      <w:r w:rsidDel="00000000" w:rsidR="00000000" w:rsidRPr="00000000">
        <w:rPr>
          <w:b w:val="0"/>
          <w:sz w:val="22"/>
          <w:szCs w:val="22"/>
          <w:rtl w:val="0"/>
        </w:rPr>
        <w:t xml:space="preserve">Article 7.5 - Résiliation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60" w:lineRule="auto"/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60" w:line="240" w:lineRule="auto"/>
        <w:ind w:left="360" w:right="0" w:firstLine="0"/>
        <w:jc w:val="left"/>
        <w:rPr>
          <w:b w:val="0"/>
          <w:sz w:val="22"/>
          <w:szCs w:val="22"/>
        </w:rPr>
      </w:pPr>
      <w:bookmarkStart w:colFirst="0" w:colLast="0" w:name="_heading=h.wgr1w6baa9w7" w:id="28"/>
      <w:bookmarkEnd w:id="28"/>
      <w:r w:rsidDel="00000000" w:rsidR="00000000" w:rsidRPr="00000000">
        <w:rPr>
          <w:b w:val="0"/>
          <w:sz w:val="22"/>
          <w:szCs w:val="22"/>
          <w:rtl w:val="0"/>
        </w:rPr>
        <w:t xml:space="preserve">Article 7.6 - Force majeure</w:t>
      </w:r>
    </w:p>
    <w:p w:rsidR="00000000" w:rsidDel="00000000" w:rsidP="00000000" w:rsidRDefault="00000000" w:rsidRPr="00000000" w14:paraId="00000023">
      <w:pPr>
        <w:pStyle w:val="Heading2"/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60" w:line="240" w:lineRule="auto"/>
        <w:ind w:left="360" w:right="0" w:firstLine="0"/>
        <w:jc w:val="left"/>
        <w:rPr>
          <w:b w:val="0"/>
          <w:sz w:val="22"/>
          <w:szCs w:val="22"/>
        </w:rPr>
      </w:pPr>
      <w:bookmarkStart w:colFirst="0" w:colLast="0" w:name="_heading=h.ct7y9nwskink" w:id="29"/>
      <w:bookmarkEnd w:id="29"/>
      <w:r w:rsidDel="00000000" w:rsidR="00000000" w:rsidRPr="00000000">
        <w:rPr>
          <w:b w:val="0"/>
          <w:sz w:val="22"/>
          <w:szCs w:val="22"/>
          <w:rtl w:val="0"/>
        </w:rPr>
        <w:t xml:space="preserve">Article 7.7 - Modifications de l’Accord</w:t>
      </w:r>
    </w:p>
    <w:p w:rsidR="00000000" w:rsidDel="00000000" w:rsidP="00000000" w:rsidRDefault="00000000" w:rsidRPr="00000000" w14:paraId="00000024">
      <w:pPr>
        <w:pStyle w:val="Heading2"/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60" w:line="240" w:lineRule="auto"/>
        <w:ind w:left="360" w:right="0" w:firstLine="0"/>
        <w:jc w:val="left"/>
        <w:rPr/>
      </w:pPr>
      <w:bookmarkStart w:colFirst="0" w:colLast="0" w:name="_heading=h.88z2vryzn82u" w:id="30"/>
      <w:bookmarkEnd w:id="30"/>
      <w:r w:rsidDel="00000000" w:rsidR="00000000" w:rsidRPr="00000000">
        <w:rPr>
          <w:b w:val="0"/>
          <w:sz w:val="22"/>
          <w:szCs w:val="22"/>
          <w:rtl w:val="0"/>
        </w:rPr>
        <w:t xml:space="preserve">Article 7.8 - Règlement des litiges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widowControl w:val="0"/>
        <w:spacing w:before="60" w:lineRule="auto"/>
        <w:ind w:left="0" w:firstLine="0"/>
        <w:rPr/>
      </w:pPr>
      <w:bookmarkStart w:colFirst="0" w:colLast="0" w:name="_heading=h.d32j9dm5gndg" w:id="31"/>
      <w:bookmarkEnd w:id="31"/>
      <w:r w:rsidDel="00000000" w:rsidR="00000000" w:rsidRPr="00000000">
        <w:rPr>
          <w:color w:val="000000"/>
          <w:sz w:val="22"/>
          <w:szCs w:val="22"/>
          <w:rtl w:val="0"/>
        </w:rPr>
        <w:t xml:space="preserve">Annexes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widowControl w:val="0"/>
        <w:spacing w:before="60" w:lineRule="auto"/>
        <w:ind w:left="360" w:firstLine="0"/>
        <w:rPr/>
      </w:pPr>
      <w:bookmarkStart w:colFirst="0" w:colLast="0" w:name="_heading=h.51ken93jjwoe" w:id="32"/>
      <w:bookmarkEnd w:id="32"/>
      <w:r w:rsidDel="00000000" w:rsidR="00000000" w:rsidRPr="00000000">
        <w:rPr>
          <w:b w:val="0"/>
          <w:sz w:val="22"/>
          <w:szCs w:val="22"/>
          <w:rtl w:val="0"/>
        </w:rPr>
        <w:t xml:space="preserve">Grandes lignes de l’accord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before="200" w:lineRule="auto"/>
        <w:jc w:val="both"/>
        <w:rPr>
          <w:rFonts w:ascii="Tahoma" w:cs="Tahoma" w:eastAsia="Tahoma" w:hAnsi="Tahoma"/>
          <w:b w:val="1"/>
          <w:color w:val="036287"/>
          <w:sz w:val="28"/>
          <w:szCs w:val="2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.3228346456694" w:right="1417" w:header="397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rFonts w:ascii="Tahoma" w:cs="Tahoma" w:eastAsia="Tahoma" w:hAnsi="Tahoma"/>
        <w:color w:val="000000"/>
        <w:sz w:val="16"/>
        <w:szCs w:val="16"/>
      </w:rPr>
    </w:pPr>
    <w:r w:rsidDel="00000000" w:rsidR="00000000" w:rsidRPr="00000000">
      <w:rPr>
        <w:rFonts w:ascii="Tahoma" w:cs="Tahoma" w:eastAsia="Tahoma" w:hAnsi="Tahoma"/>
        <w:sz w:val="16"/>
        <w:szCs w:val="16"/>
        <w:rtl w:val="0"/>
      </w:rPr>
      <w:t xml:space="preserve">Starter kit EDS                                                                                                                                                               </w:t>
    </w:r>
    <w:r w:rsidDel="00000000" w:rsidR="00000000" w:rsidRPr="00000000">
      <w:rPr>
        <w:rFonts w:ascii="Tahoma" w:cs="Tahoma" w:eastAsia="Tahoma" w:hAnsi="Tahom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ahoma" w:cs="Tahoma" w:eastAsia="Tahoma" w:hAnsi="Tahoma"/>
        <w:sz w:val="14"/>
        <w:szCs w:val="14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6669730</wp:posOffset>
          </wp:positionH>
          <wp:positionV relativeFrom="page">
            <wp:posOffset>9525</wp:posOffset>
          </wp:positionV>
          <wp:extent cx="972329" cy="891302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5319" l="0" r="0" t="-5319"/>
                  <a:stretch>
                    <a:fillRect/>
                  </a:stretch>
                </pic:blipFill>
                <pic:spPr>
                  <a:xfrm rot="16200000">
                    <a:off x="0" y="0"/>
                    <a:ext cx="972329" cy="89130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F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ind w:left="720" w:hanging="360"/>
    </w:pPr>
    <w:rPr>
      <w:rFonts w:ascii="Tahoma" w:cs="Tahoma" w:eastAsia="Tahoma" w:hAnsi="Tahoma"/>
      <w:b w:val="1"/>
      <w:color w:val="036287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rFonts w:ascii="Tahoma" w:cs="Tahoma" w:eastAsia="Tahoma" w:hAnsi="Tahoma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QT3vRDxmi92fwuL0ElgufpiRUg==">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